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DDDF1C" w14:textId="2B2A159A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434DAF23" wp14:editId="5E1A1F27">
            <wp:extent cx="1704975" cy="847725"/>
            <wp:effectExtent l="0" t="0" r="9525" b="9525"/>
            <wp:docPr id="2" name="Picture 2" descr="48425C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8425CF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52928" w14:textId="16679E86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1644A796" wp14:editId="50C45116">
            <wp:extent cx="5943600" cy="47625"/>
            <wp:effectExtent l="0" t="0" r="0" b="9525"/>
            <wp:docPr id="1" name="Picture 1" descr="35D35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5D356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625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8EAA0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8DDE926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r>
        <w:rPr>
          <w:rFonts w:ascii="Calibri" w:hAnsi="Calibri" w:cs="Calibri"/>
          <w:b/>
          <w:bCs/>
          <w:sz w:val="22"/>
          <w:szCs w:val="22"/>
        </w:rPr>
        <w:t xml:space="preserve">Beck Depression Inventory – II (BDI-II)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446154C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color w:val="444444"/>
          <w:sz w:val="22"/>
          <w:szCs w:val="22"/>
          <w:shd w:val="clear" w:color="auto" w:fill="FFFFFF"/>
        </w:rPr>
      </w:pPr>
      <w:r>
        <w:rPr>
          <w:rStyle w:val="normaltextrun"/>
          <w:rFonts w:ascii="Calibri" w:hAnsi="Calibri" w:cs="Calibri"/>
          <w:sz w:val="22"/>
          <w:szCs w:val="22"/>
        </w:rPr>
        <w:t>To access this measure, please register with Pearson Assessment</w:t>
      </w:r>
    </w:p>
    <w:p w14:paraId="5FABCAD1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14:paraId="5C909555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color w:val="444444"/>
          <w:sz w:val="22"/>
          <w:szCs w:val="22"/>
          <w:shd w:val="clear" w:color="auto" w:fill="FFFFFF"/>
        </w:rPr>
      </w:pPr>
      <w:r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Initiative:</w:t>
      </w:r>
      <w:r>
        <w:rPr>
          <w:rStyle w:val="eop"/>
          <w:rFonts w:ascii="Calibri" w:hAnsi="Calibri" w:cs="Calibri"/>
          <w:sz w:val="22"/>
          <w:szCs w:val="22"/>
        </w:rPr>
        <w:t> </w:t>
      </w:r>
      <w:hyperlink r:id="rId6" w:history="1">
        <w:r>
          <w:rPr>
            <w:rStyle w:val="Hyperlink"/>
            <w:rFonts w:ascii="Calibri" w:hAnsi="Calibri" w:cs="Calibri"/>
            <w:sz w:val="22"/>
            <w:szCs w:val="22"/>
            <w:shd w:val="clear" w:color="auto" w:fill="FFFFFF"/>
          </w:rPr>
          <w:t>customer_service@harcourt.com</w:t>
        </w:r>
      </w:hyperlink>
    </w:p>
    <w:p w14:paraId="31BDBCD0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70156B8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6968C4E8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356DFFB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7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6DB8902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F23F011" w14:textId="77777777" w:rsidR="00482608" w:rsidRDefault="00482608" w:rsidP="0048260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English CRF is available.</w:t>
      </w:r>
    </w:p>
    <w:p w14:paraId="5F3FCC79" w14:textId="035FA165" w:rsidR="000C11AB" w:rsidRDefault="00482608">
      <w:bookmarkStart w:id="0" w:name="_GoBack"/>
      <w:bookmarkEnd w:id="0"/>
    </w:p>
    <w:sectPr w:rsidR="000C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482608"/>
    <w:rsid w:val="005A04B2"/>
    <w:rsid w:val="00667DE4"/>
    <w:rsid w:val="00896BA8"/>
    <w:rsid w:val="009C035F"/>
    <w:rsid w:val="00BE323C"/>
    <w:rsid w:val="00CC1518"/>
    <w:rsid w:val="00DE481B"/>
    <w:rsid w:val="00EA5966"/>
    <w:rsid w:val="00F5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481B"/>
    <w:rPr>
      <w:color w:val="0563C1"/>
      <w:u w:val="single"/>
    </w:rPr>
  </w:style>
  <w:style w:type="paragraph" w:customStyle="1" w:styleId="paragraph">
    <w:name w:val="paragraph"/>
    <w:basedOn w:val="Normal"/>
    <w:rsid w:val="004826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482608"/>
  </w:style>
  <w:style w:type="character" w:customStyle="1" w:styleId="normaltextrun">
    <w:name w:val="normaltextrun"/>
    <w:basedOn w:val="DefaultParagraphFont"/>
    <w:rsid w:val="004826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90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AL_CDE@hsc.uta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ustomer_service@harcourt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Carolyn Conlin</cp:lastModifiedBy>
  <cp:revision>4</cp:revision>
  <dcterms:created xsi:type="dcterms:W3CDTF">2020-09-24T17:01:00Z</dcterms:created>
  <dcterms:modified xsi:type="dcterms:W3CDTF">2023-07-05T20:45:00Z</dcterms:modified>
</cp:coreProperties>
</file>